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6"/>
        <w:ind w:firstLine="709"/>
        <w:jc w:val="center"/>
        <w:keepNext w:val="0"/>
        <w:rPr>
          <w:lang w:val="ru-RU"/>
        </w:rPr>
      </w:pPr>
      <w:r>
        <w:rPr>
          <w:lang w:val="ru-RU"/>
        </w:rPr>
        <w:t xml:space="preserve">Отчет </w:t>
      </w:r>
      <w:r>
        <w:rPr>
          <w:lang w:val="ru-RU"/>
        </w:rPr>
        <w:t xml:space="preserve">об использовании бюджетных </w:t>
      </w:r>
      <w:r>
        <w:rPr>
          <w:lang w:val="ru-RU"/>
        </w:rPr>
        <w:t xml:space="preserve">ассигнований резервного фонда администрации города Владивостока </w:t>
      </w:r>
      <w:r>
        <w:rPr>
          <w:lang w:val="ru-RU"/>
        </w:rPr>
        <w:t xml:space="preserve">за</w:t>
      </w:r>
      <w:r>
        <w:rPr>
          <w:lang w:val="ru-RU"/>
        </w:rPr>
        <w:t xml:space="preserve"> 2025 год</w:t>
      </w:r>
      <w:r>
        <w:rPr>
          <w:lang w:val="ru-RU"/>
        </w:rPr>
      </w:r>
      <w:r>
        <w:rPr>
          <w:lang w:val="ru-RU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муниципальным правовым актом города Владивостока от 17.12.2024 № 145-МПА «О бюджете Владивостокского округа на 2025 год и плановый период 2026 и 2027 годов» резервный фонд администрации города Владивостока (далее </w:t>
      </w:r>
      <w:r>
        <w:rPr>
          <w:color w:val="000000"/>
          <w:sz w:val="28"/>
          <w:szCs w:val="28"/>
        </w:rPr>
        <w:t xml:space="preserve">–</w:t>
      </w:r>
      <w:r>
        <w:rPr>
          <w:sz w:val="28"/>
          <w:szCs w:val="28"/>
        </w:rPr>
        <w:t xml:space="preserve"> резервный фонд) в 2025 году был предусмотрен </w:t>
      </w:r>
      <w:r>
        <w:rPr>
          <w:sz w:val="28"/>
          <w:szCs w:val="28"/>
        </w:rPr>
        <w:t xml:space="preserve">в </w:t>
        <w:br/>
        <w:t xml:space="preserve">сумме 335 098 811,33</w:t>
      </w:r>
      <w:r>
        <w:rPr>
          <w:sz w:val="28"/>
          <w:szCs w:val="28"/>
        </w:rPr>
        <w:t xml:space="preserve"> рублей, в т. ч: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на предупреждение возникновения чрезвычайных ситуаци</w:t>
      </w:r>
      <w:r>
        <w:rPr>
          <w:sz w:val="28"/>
          <w:szCs w:val="28"/>
        </w:rPr>
        <w:t xml:space="preserve">й в границах (на территории) Владивостокского городского округа, проведение аварийно-восстановительных работ по ликвидации последствий, возникших вследствие непреодолимой силы, стихийных бедствий и других чрезвычайных ситуаций, в сумме 1 000 000,00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contextualSpacing/>
        <w:ind w:firstLine="709"/>
        <w:jc w:val="both"/>
        <w:keepNext w:val="0"/>
        <w:spacing w:line="360" w:lineRule="auto"/>
        <w:rPr>
          <w:lang w:val="ru-RU"/>
        </w:rPr>
      </w:pPr>
      <w:r>
        <w:rPr>
          <w:lang w:val="ru-RU"/>
        </w:rPr>
        <w:t xml:space="preserve">- на создание, хранение, использование и восполнение резервов материальных ресурсов для ликвидации чрезвычайных ситуаций природного и техногенного характера на территории Владивостокского городского округа в сумме 2 600 000,00 рублей;</w:t>
      </w:r>
      <w:r>
        <w:rPr>
          <w:lang w:val="ru-RU"/>
        </w:rPr>
      </w:r>
      <w:r>
        <w:rPr>
          <w:lang w:val="ru-RU"/>
        </w:rPr>
      </w:r>
    </w:p>
    <w:p>
      <w:pPr>
        <w:pStyle w:val="935"/>
        <w:ind w:left="0" w:firstLine="709"/>
        <w:spacing w:after="0"/>
        <w:shd w:val="clear" w:color="auto" w:fill="ffffff"/>
        <w:widowControl w:val="off"/>
        <w:tabs>
          <w:tab w:val="left" w:pos="0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 xml:space="preserve">на ф</w:t>
      </w:r>
      <w:r>
        <w:rPr>
          <w:color w:val="000000"/>
          <w:sz w:val="28"/>
          <w:szCs w:val="28"/>
          <w:lang w:val="ru-RU"/>
        </w:rPr>
        <w:t xml:space="preserve">инансовый резерв администрации города Владивостока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br w:type="textWrapping" w:clear="all"/>
        <w:t xml:space="preserve">в сумме</w:t>
      </w:r>
      <w:r>
        <w:rPr>
          <w:sz w:val="28"/>
          <w:szCs w:val="28"/>
          <w:lang w:val="ru-RU"/>
        </w:rPr>
        <w:t xml:space="preserve"> 331 498 811,33</w:t>
      </w:r>
      <w:r>
        <w:rPr>
          <w:sz w:val="28"/>
          <w:szCs w:val="28"/>
          <w:lang w:val="ru-RU"/>
        </w:rPr>
        <w:t xml:space="preserve"> руб</w:t>
      </w:r>
      <w:r>
        <w:rPr>
          <w:sz w:val="28"/>
          <w:szCs w:val="28"/>
          <w:lang w:val="ru-RU"/>
        </w:rPr>
        <w:t xml:space="preserve">лей.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 резервного фонда выделено в соответствии с распоряжениями администрации города Владивостока «О выделении бюджетных ассигнований из резервного фонда администрации города Владивостока» </w:t>
      </w:r>
      <w:r>
        <w:rPr>
          <w:sz w:val="28"/>
          <w:szCs w:val="28"/>
        </w:rPr>
        <w:br w:type="textWrapping" w:clear="all"/>
        <w:t xml:space="preserve">317 769 912,07 рублей. Кассовый расход составил 314 536 432,67</w:t>
      </w:r>
      <w:r>
        <w:rPr>
          <w:sz w:val="28"/>
          <w:szCs w:val="28"/>
        </w:rPr>
        <w:t xml:space="preserve"> рубля.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contextualSpacing/>
        <w:ind w:firstLine="709"/>
        <w:jc w:val="both"/>
        <w:keepNext w:val="0"/>
        <w:spacing w:line="360" w:lineRule="auto"/>
        <w:rPr>
          <w:lang w:val="ru-RU"/>
        </w:rPr>
      </w:pPr>
      <w:r>
        <w:rPr>
          <w:lang w:val="ru-RU"/>
        </w:rPr>
        <w:t xml:space="preserve">Бюджетные ассигнования резервного фонда носят целевой характер и подлежат отражению по соответствующим разделам классификации расходов, исходя из отраслевой и ведомственной принадлежности.</w:t>
      </w:r>
      <w:r>
        <w:rPr>
          <w:lang w:val="ru-RU"/>
        </w:rPr>
      </w:r>
      <w:r>
        <w:rPr>
          <w:lang w:val="ru-RU"/>
        </w:rPr>
      </w:r>
    </w:p>
    <w:p>
      <w:pPr>
        <w:pStyle w:val="926"/>
        <w:contextualSpacing/>
        <w:ind w:firstLine="709"/>
        <w:jc w:val="both"/>
        <w:keepNext w:val="0"/>
        <w:spacing w:line="360" w:lineRule="auto"/>
        <w:rPr>
          <w:rStyle w:val="939"/>
          <w:rFonts w:ascii="Times New Roman" w:hAnsi="Times New Roman" w:cs="Times New Roman"/>
          <w:lang w:val="ru-RU"/>
        </w:rPr>
      </w:pPr>
      <w:r>
        <w:rPr>
          <w:rStyle w:val="939"/>
          <w:rFonts w:ascii="Times New Roman" w:hAnsi="Times New Roman" w:cs="Times New Roman"/>
          <w:lang w:val="ru-RU"/>
        </w:rPr>
        <w:t xml:space="preserve">1. На финансовое обеспечение проведения экстренных ремонтных и </w:t>
      </w:r>
      <w:r>
        <w:rPr>
          <w:rStyle w:val="939"/>
          <w:rFonts w:ascii="Times New Roman" w:hAnsi="Times New Roman" w:cs="Times New Roman"/>
          <w:lang w:val="ru-RU"/>
        </w:rPr>
        <w:t xml:space="preserve">восстановительных работ, необходимых для предупреждения возникновения чрезвычайных ситуаций, минимизации и ликвидации последствий чрезвычайных ситуаций </w:t>
      </w:r>
      <w:r>
        <w:rPr>
          <w:rStyle w:val="939"/>
          <w:rFonts w:ascii="Times New Roman" w:hAnsi="Times New Roman" w:cs="Times New Roman"/>
        </w:rPr>
        <w:t xml:space="preserve">из резервного фонда </w:t>
      </w:r>
      <w:r>
        <w:rPr>
          <w:rStyle w:val="939"/>
          <w:rFonts w:ascii="Times New Roman" w:hAnsi="Times New Roman" w:cs="Times New Roman"/>
        </w:rPr>
        <w:t xml:space="preserve">выделены бюджетные ассигнования в объеме 12 800 838,13 рублей, израсходовано</w:t>
      </w:r>
      <w:r>
        <w:rPr>
          <w:rStyle w:val="939"/>
          <w:rFonts w:ascii="Times New Roman" w:hAnsi="Times New Roman" w:cs="Times New Roman"/>
        </w:rPr>
        <w:t xml:space="preserve"> </w:t>
      </w:r>
      <w:r>
        <w:rPr>
          <w:rStyle w:val="939"/>
          <w:rFonts w:ascii="Times New Roman" w:hAnsi="Times New Roman" w:cs="Times New Roman"/>
        </w:rPr>
        <w:t xml:space="preserve">12 800 838,13</w:t>
      </w:r>
      <w:r>
        <w:rPr>
          <w:rStyle w:val="939"/>
          <w:rFonts w:ascii="Times New Roman" w:hAnsi="Times New Roman" w:cs="Times New Roman"/>
        </w:rPr>
        <w:t xml:space="preserve"> рублей</w:t>
      </w:r>
      <w:r>
        <w:rPr>
          <w:rStyle w:val="939"/>
          <w:rFonts w:ascii="Times New Roman" w:hAnsi="Times New Roman" w:cs="Times New Roman"/>
          <w:lang w:val="ru-RU"/>
        </w:rPr>
        <w:t xml:space="preserve">:</w:t>
      </w:r>
      <w:r>
        <w:rPr>
          <w:rStyle w:val="939"/>
          <w:rFonts w:ascii="Times New Roman" w:hAnsi="Times New Roman" w:cs="Times New Roman"/>
          <w:lang w:val="ru-RU"/>
        </w:rPr>
      </w:r>
      <w:r>
        <w:rPr>
          <w:rStyle w:val="939"/>
          <w:rFonts w:ascii="Times New Roman" w:hAnsi="Times New Roman" w:cs="Times New Roman"/>
          <w:lang w:val="ru-RU"/>
        </w:rPr>
      </w:r>
    </w:p>
    <w:p>
      <w:pPr>
        <w:ind w:left="0" w:right="0" w:firstLine="709"/>
        <w:jc w:val="both"/>
        <w:spacing w:line="360" w:lineRule="auto"/>
      </w:pPr>
      <w:r>
        <w:rPr>
          <w:rStyle w:val="939"/>
          <w:rFonts w:ascii="Times New Roman" w:hAnsi="Times New Roman" w:cs="Times New Roman"/>
        </w:rPr>
        <w:t xml:space="preserve">- на обеспечение горячим питанием личного состава государственного казенного учреждения Приморского края по пожарной безопасности, делам гражданской обороны, защите населения и территорий от чрезвычайных ситуаций, </w:t>
      </w:r>
      <w:r>
        <w:rPr>
          <w:rStyle w:val="939"/>
          <w:rFonts w:ascii="Times New Roman" w:hAnsi="Times New Roman" w:cs="Times New Roman"/>
          <w:lang w:val="ru-RU"/>
        </w:rPr>
        <w:t xml:space="preserve">задействованных в выполнении работ по расчистке от мусора и наносов,</w:t>
      </w:r>
      <w:r>
        <w:rPr>
          <w:rStyle w:val="939"/>
          <w:rFonts w:ascii="Times New Roman" w:hAnsi="Times New Roman" w:cs="Times New Roman"/>
          <w:lang w:val="ru-RU"/>
        </w:rPr>
        <w:t xml:space="preserve"> дноуглублению и берегоукреплению русел рек, направленных на предотвращение негативного воздействия вод и ликвидацию чрезвычайных ситуаций на территории Владивостокского городского округа;</w:t>
      </w:r>
      <w:r>
        <w:rPr>
          <w:rStyle w:val="939"/>
          <w:rFonts w:ascii="Times New Roman" w:hAnsi="Times New Roman" w:cs="Times New Roman"/>
          <w:lang w:val="ru-RU"/>
        </w:rPr>
      </w:r>
      <w:r/>
    </w:p>
    <w:p>
      <w:pPr>
        <w:ind w:left="0" w:right="0" w:firstLine="709"/>
        <w:jc w:val="both"/>
        <w:spacing w:line="360" w:lineRule="auto"/>
        <w:rPr>
          <w:sz w:val="28"/>
          <w:szCs w:val="28"/>
        </w:rPr>
      </w:pPr>
      <w:r>
        <w:rPr>
          <w:rStyle w:val="939"/>
          <w:rFonts w:ascii="Times New Roman" w:hAnsi="Times New Roman" w:cs="Times New Roman"/>
        </w:rPr>
        <w:t xml:space="preserve">- на проведение работ, по демонтажу опасных конструктивных элементов и аварийной части здания МКД, расположенного по адресу</w:t>
      </w:r>
      <w:r>
        <w:rPr>
          <w:rStyle w:val="939"/>
          <w:rFonts w:ascii="Times New Roman" w:hAnsi="Times New Roman" w:cs="Times New Roman"/>
        </w:rPr>
        <w:t xml:space="preserve">: г.Владивосток, </w:t>
        <w:br/>
        <w:t xml:space="preserve">ул. </w:t>
      </w:r>
      <w:r>
        <w:rPr>
          <w:rStyle w:val="939"/>
          <w:rFonts w:ascii="Times New Roman" w:hAnsi="Times New Roman" w:cs="Times New Roman"/>
        </w:rPr>
        <w:t xml:space="preserve">Борисенко, д. 36, угрожающих внезапным обрушением, вывозу мусора и установке ограждений в опасной зоне сгоревшего МКД, а также на финансовое обеспечение работ по ремонту жилых помещений маневренного фонда для расселения граждан, проживавших в МКД по адресу</w:t>
      </w:r>
      <w:r>
        <w:rPr>
          <w:rStyle w:val="939"/>
          <w:rFonts w:ascii="Times New Roman" w:hAnsi="Times New Roman" w:cs="Times New Roman"/>
        </w:rPr>
        <w:t xml:space="preserve">: г.Владивосток, </w:t>
        <w:br/>
        <w:t xml:space="preserve">ул. Борисенко, д. 36</w:t>
      </w:r>
      <w:r>
        <w:rPr>
          <w:rStyle w:val="939"/>
          <w:rFonts w:ascii="Times New Roman" w:hAnsi="Times New Roman" w:cs="Times New Roman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contextualSpacing/>
        <w:ind w:firstLine="709"/>
        <w:jc w:val="both"/>
        <w:keepNext w:val="0"/>
        <w:spacing w:line="360" w:lineRule="auto"/>
        <w:rPr>
          <w:lang w:val="ru-RU"/>
        </w:rPr>
      </w:pPr>
      <w:r>
        <w:rPr>
          <w:lang w:val="ru-RU"/>
        </w:rPr>
        <w:t xml:space="preserve">2. На проведение мероприятий, направленных на ликвидацию предпосылок к в</w:t>
      </w:r>
      <w:r>
        <w:rPr>
          <w:lang w:val="ru-RU"/>
        </w:rPr>
        <w:t xml:space="preserve">о</w:t>
      </w:r>
      <w:r>
        <w:rPr>
          <w:lang w:val="ru-RU"/>
        </w:rPr>
        <w:t xml:space="preserve">з</w:t>
      </w:r>
      <w:r>
        <w:rPr>
          <w:lang w:val="ru-RU"/>
        </w:rPr>
        <w:t xml:space="preserve">никновению чрезвычайных ситуаций, путем выполнения работ по разработке проектно-сметной документации на выполнение работ  аварийно-восстановительного характера </w:t>
      </w:r>
      <w:r>
        <w:rPr>
          <w:rStyle w:val="939"/>
          <w:rFonts w:ascii="Times New Roman" w:hAnsi="Times New Roman" w:cs="Times New Roman"/>
          <w:lang w:val="ru-RU"/>
        </w:rPr>
        <w:t xml:space="preserve">из резервного фонда </w:t>
      </w:r>
      <w:r>
        <w:rPr>
          <w:rStyle w:val="939"/>
          <w:rFonts w:ascii="Times New Roman" w:hAnsi="Times New Roman" w:cs="Times New Roman"/>
          <w:lang w:val="ru-RU"/>
        </w:rPr>
        <w:t xml:space="preserve">выделены  </w:t>
        <w:br/>
        <w:t xml:space="preserve">бюджетные ассигнования в объеме 185 937 758,43 рублей, израсходовано </w:t>
        <w:br/>
      </w:r>
      <w:r>
        <w:rPr>
          <w:rStyle w:val="939"/>
          <w:rFonts w:ascii="Times New Roman" w:hAnsi="Times New Roman" w:cs="Times New Roman"/>
          <w:lang w:val="ru-RU"/>
        </w:rPr>
        <w:t xml:space="preserve">185 937 758,43 </w:t>
      </w:r>
      <w:r>
        <w:rPr>
          <w:rStyle w:val="939"/>
          <w:rFonts w:ascii="Times New Roman" w:hAnsi="Times New Roman" w:cs="Times New Roman"/>
          <w:lang w:val="ru-RU"/>
        </w:rPr>
        <w:t xml:space="preserve">рублей</w:t>
      </w:r>
      <w:r>
        <w:rPr>
          <w:lang w:val="ru-RU"/>
        </w:rPr>
        <w:t xml:space="preserve">:</w:t>
      </w:r>
      <w:r>
        <w:rPr>
          <w:lang w:val="ru-RU"/>
        </w:rPr>
      </w:r>
      <w:r>
        <w:rPr>
          <w:lang w:val="ru-RU"/>
        </w:rPr>
      </w:r>
    </w:p>
    <w:p>
      <w:pPr>
        <w:pStyle w:val="926"/>
        <w:contextualSpacing/>
        <w:ind w:firstLine="709"/>
        <w:jc w:val="both"/>
        <w:keepNext w:val="0"/>
        <w:spacing w:line="360" w:lineRule="auto"/>
        <w:rPr>
          <w:highlight w:val="yellow"/>
        </w:rPr>
      </w:pPr>
      <w:r>
        <w:rPr>
          <w:lang w:val="ru-RU"/>
        </w:rPr>
        <w:t xml:space="preserve">- на капитальный ремонт здания Владивостокского городского Океанариума, расположенного по адресу</w:t>
      </w:r>
      <w:r>
        <w:rPr>
          <w:lang w:val="ru-RU"/>
        </w:rPr>
        <w:t xml:space="preserve">:</w:t>
      </w:r>
      <w:r>
        <w:rPr>
          <w:lang w:val="ru-RU"/>
        </w:rPr>
        <w:t xml:space="preserve"> г. Владивосток, ул. Батарейная, д. 4, </w:t>
        <w:br/>
        <w:t xml:space="preserve">с последующим выполнением работ аварийно-восстановительного характера по капитальному ремонту здания в соответствии с разработанной проектно-сметной документацией</w:t>
      </w:r>
      <w:r>
        <w:rPr>
          <w:highlight w:val="none"/>
          <w:lang w:val="ru-RU"/>
        </w:rPr>
        <w:t xml:space="preserve">;</w:t>
      </w:r>
      <w:r>
        <w:rPr>
          <w:highlight w:val="yellow"/>
          <w:lang w:val="ru-RU"/>
        </w:rPr>
        <w:t xml:space="preserve"> </w:t>
      </w:r>
      <w:r>
        <w:rPr>
          <w:highlight w:val="yellow"/>
        </w:rPr>
      </w:r>
      <w:r>
        <w:rPr>
          <w:highlight w:val="yellow"/>
        </w:rPr>
      </w:r>
    </w:p>
    <w:p>
      <w:pPr>
        <w:pStyle w:val="926"/>
        <w:contextualSpacing/>
        <w:ind w:left="0" w:right="0" w:firstLine="709"/>
        <w:jc w:val="both"/>
        <w:keepNext w:val="0"/>
        <w:spacing w:line="360" w:lineRule="auto"/>
        <w:rPr>
          <w:rStyle w:val="939"/>
          <w:rFonts w:ascii="Times New Roman" w:hAnsi="Times New Roman" w:cs="Times New Roman"/>
          <w:lang w:val="ru-RU"/>
        </w:rPr>
        <w:suppressLineNumbers w:val="0"/>
      </w:pPr>
      <w:r>
        <w:rPr>
          <w:rStyle w:val="939"/>
          <w:rFonts w:ascii="Times New Roman" w:hAnsi="Times New Roman" w:cs="Times New Roman"/>
          <w:lang w:val="ru-RU"/>
        </w:rPr>
        <w:t xml:space="preserve">- на ремонт кровли  </w:t>
      </w:r>
      <w:r>
        <w:rPr>
          <w:lang w:val="ru-RU"/>
        </w:rPr>
        <w:t xml:space="preserve">Владивостокского городского океанариума, расположенного по адресу</w:t>
      </w:r>
      <w:r>
        <w:rPr>
          <w:lang w:val="ru-RU"/>
        </w:rPr>
        <w:t xml:space="preserve">:</w:t>
      </w:r>
      <w:r>
        <w:rPr>
          <w:lang w:val="ru-RU"/>
        </w:rPr>
        <w:t xml:space="preserve"> г.Владивосток, ул.Батарейная, д.4, в том числе подготовительные работы по демонтажу надстроенных элементов, расположенных по периметру покрытия кровли,и выполнение работ аварийно-восстановительного характера по ремонту кровли </w:t>
      </w:r>
      <w:r>
        <w:rPr>
          <w:lang w:val="ru-RU"/>
        </w:rPr>
        <w:t xml:space="preserve">Океанариума</w:t>
      </w:r>
      <w:r>
        <w:rPr>
          <w:lang w:val="ru-RU"/>
        </w:rPr>
        <w:t xml:space="preserve"> в соответствии с разработанной </w:t>
      </w:r>
      <w:r>
        <w:rPr>
          <w:lang w:val="ru-RU"/>
        </w:rPr>
        <w:t xml:space="preserve">проектно-сметной документацией; </w:t>
      </w:r>
      <w:r>
        <w:rPr>
          <w:rStyle w:val="939"/>
          <w:rFonts w:ascii="Times New Roman" w:hAnsi="Times New Roman" w:cs="Times New Roman"/>
          <w:lang w:val="ru-RU"/>
        </w:rPr>
      </w:r>
      <w:r>
        <w:rPr>
          <w:rStyle w:val="939"/>
          <w:rFonts w:ascii="Times New Roman" w:hAnsi="Times New Roman" w:cs="Times New Roman"/>
          <w:lang w:val="ru-RU"/>
        </w:rPr>
      </w:r>
    </w:p>
    <w:p>
      <w:pPr>
        <w:pStyle w:val="926"/>
        <w:contextualSpacing/>
        <w:ind w:left="0" w:right="0" w:firstLine="709"/>
        <w:jc w:val="both"/>
        <w:keepNext w:val="0"/>
        <w:spacing w:line="360" w:lineRule="auto"/>
        <w:rPr>
          <w:rStyle w:val="939"/>
          <w:rFonts w:ascii="Times New Roman" w:hAnsi="Times New Roman" w:cs="Times New Roman"/>
          <w:lang w:val="ru-RU"/>
        </w:rPr>
        <w:suppressLineNumbers w:val="0"/>
      </w:pPr>
      <w:r>
        <w:rPr>
          <w:rStyle w:val="939"/>
          <w:rFonts w:ascii="Times New Roman" w:hAnsi="Times New Roman" w:cs="Times New Roman"/>
          <w:lang w:val="ru-RU"/>
        </w:rPr>
        <w:t xml:space="preserve">- на демонтаж авари</w:t>
      </w:r>
      <w:r>
        <w:rPr>
          <w:rStyle w:val="939"/>
          <w:rFonts w:ascii="Times New Roman" w:hAnsi="Times New Roman" w:cs="Times New Roman"/>
          <w:lang w:val="ru-RU"/>
        </w:rPr>
        <w:t xml:space="preserve">йных элементов покрытий и парапетного ограждения подпорной стены набережной зоны отдыха «Площадь Спортивная гавань», расположенной в районе ул. Батарейная, д. 4 г. Владивостоке </w:t>
        <w:br/>
      </w:r>
      <w:r>
        <w:rPr>
          <w:rStyle w:val="939"/>
          <w:rFonts w:ascii="Times New Roman" w:hAnsi="Times New Roman" w:cs="Times New Roman"/>
          <w:highlight w:val="none"/>
          <w:lang w:val="ru-RU"/>
        </w:rPr>
        <w:t xml:space="preserve">(далее – зона отдыха)</w:t>
      </w:r>
      <w:r>
        <w:rPr>
          <w:rStyle w:val="939"/>
          <w:rFonts w:ascii="Times New Roman" w:hAnsi="Times New Roman" w:cs="Times New Roman"/>
          <w:highlight w:val="none"/>
          <w:lang w:val="ru-RU"/>
        </w:rPr>
        <w:t xml:space="preserve">, с пос</w:t>
      </w:r>
      <w:r>
        <w:rPr>
          <w:rStyle w:val="939"/>
          <w:rFonts w:ascii="Times New Roman" w:hAnsi="Times New Roman" w:cs="Times New Roman"/>
          <w:lang w:val="ru-RU"/>
        </w:rPr>
        <w:t xml:space="preserve">ледующим выполнением неотложных работ по демонтаж</w:t>
      </w:r>
      <w:r>
        <w:rPr>
          <w:rStyle w:val="939"/>
          <w:rFonts w:ascii="Times New Roman" w:hAnsi="Times New Roman" w:cs="Times New Roman"/>
          <w:lang w:val="ru-RU"/>
        </w:rPr>
        <w:t xml:space="preserve">у аварийных элементов покрытий и парапетов ограждения подпорной стены набережной зоны отдыха в соответствии с разработанной проектно-сметной документацией</w:t>
      </w:r>
      <w:r>
        <w:rPr>
          <w:rStyle w:val="939"/>
          <w:rFonts w:ascii="Times New Roman" w:hAnsi="Times New Roman" w:cs="Times New Roman"/>
          <w:lang w:val="ru-RU"/>
        </w:rPr>
        <w:t xml:space="preserve">. </w:t>
      </w:r>
      <w:r>
        <w:rPr>
          <w:rStyle w:val="939"/>
          <w:rFonts w:ascii="Times New Roman" w:hAnsi="Times New Roman" w:cs="Times New Roman"/>
          <w:lang w:val="ru-RU"/>
        </w:rPr>
      </w:r>
      <w:r>
        <w:rPr>
          <w:rStyle w:val="939"/>
          <w:rFonts w:ascii="Times New Roman" w:hAnsi="Times New Roman" w:cs="Times New Roman"/>
          <w:lang w:val="ru-RU"/>
        </w:rPr>
      </w:r>
    </w:p>
    <w:p>
      <w:pPr>
        <w:pStyle w:val="926"/>
        <w:contextualSpacing/>
        <w:ind w:firstLine="709"/>
        <w:jc w:val="both"/>
        <w:keepNext w:val="0"/>
        <w:spacing w:line="360" w:lineRule="auto"/>
        <w:rPr>
          <w:lang w:val="ru-RU"/>
        </w:rPr>
      </w:pPr>
      <w:r>
        <w:rPr>
          <w:lang w:val="ru-RU"/>
        </w:rPr>
        <w:t xml:space="preserve">3. На финансовое обеспечение мероприятий по решению вопросов местного значения, на осуществление которых не предусмотрены расходы в бюджет</w:t>
      </w:r>
      <w:r>
        <w:rPr>
          <w:lang w:val="ru-RU"/>
        </w:rPr>
        <w:t xml:space="preserve">е Владивостокского городского округа на текущий финансовый год, </w:t>
      </w:r>
      <w:r>
        <w:rPr>
          <w:rStyle w:val="939"/>
          <w:rFonts w:ascii="Times New Roman" w:hAnsi="Times New Roman" w:cs="Times New Roman"/>
          <w:lang w:val="ru-RU"/>
        </w:rPr>
        <w:t xml:space="preserve">из резервного фонда </w:t>
      </w:r>
      <w:r>
        <w:rPr>
          <w:rStyle w:val="939"/>
          <w:rFonts w:ascii="Times New Roman" w:hAnsi="Times New Roman" w:cs="Times New Roman"/>
          <w:lang w:val="ru-RU"/>
        </w:rPr>
        <w:t xml:space="preserve">выделены бюджетные ассигнования в объеме 65 467 675,52 рублей, израсходовано 63 712 367,88</w:t>
      </w:r>
      <w:r>
        <w:rPr>
          <w:rStyle w:val="939"/>
          <w:rFonts w:ascii="Times New Roman" w:hAnsi="Times New Roman" w:cs="Times New Roman"/>
          <w:lang w:val="ru-RU"/>
        </w:rPr>
        <w:t xml:space="preserve"> рублей</w:t>
      </w:r>
      <w:r>
        <w:rPr>
          <w:lang w:val="ru-RU"/>
        </w:rPr>
        <w:t xml:space="preserve">: </w:t>
      </w:r>
      <w:r>
        <w:rPr>
          <w:lang w:val="ru-RU"/>
        </w:rPr>
      </w:r>
      <w:r>
        <w:rPr>
          <w:lang w:val="ru-RU"/>
        </w:rPr>
      </w:r>
    </w:p>
    <w:p>
      <w:pPr>
        <w:pStyle w:val="926"/>
        <w:contextualSpacing/>
        <w:ind w:left="0" w:right="0" w:firstLine="709"/>
        <w:jc w:val="both"/>
        <w:keepNext w:val="0"/>
        <w:spacing w:line="360" w:lineRule="auto"/>
        <w:tabs>
          <w:tab w:val="left" w:pos="7509" w:leader="none"/>
        </w:tabs>
        <w:rPr>
          <w:lang w:val="ru-RU"/>
        </w:rPr>
      </w:pPr>
      <w:r>
        <w:rPr>
          <w:lang w:val="ru-RU"/>
        </w:rPr>
        <w:t xml:space="preserve">- на проведение аварийно-восстановительных работ по укреплению конструкций части аварийной стены здания муниципального бюджетного общеобразовательного учреждения «Средняя общеобразовательная школа № 72 г. Владивостока»;</w:t>
      </w:r>
      <w:r>
        <w:rPr>
          <w:lang w:val="ru-RU"/>
        </w:rPr>
      </w:r>
      <w:r>
        <w:rPr>
          <w:lang w:val="ru-RU"/>
        </w:rPr>
      </w:r>
    </w:p>
    <w:p>
      <w:pPr>
        <w:pStyle w:val="926"/>
        <w:contextualSpacing/>
        <w:ind w:left="0" w:right="0" w:firstLine="709"/>
        <w:jc w:val="both"/>
        <w:keepNext w:val="0"/>
        <w:spacing w:line="360" w:lineRule="auto"/>
        <w:tabs>
          <w:tab w:val="left" w:pos="7509" w:leader="none"/>
        </w:tabs>
        <w:rPr>
          <w:lang w:val="ru-RU"/>
        </w:rPr>
      </w:pPr>
      <w:r>
        <w:rPr>
          <w:lang w:val="ru-RU"/>
        </w:rPr>
        <w:t xml:space="preserve">- на проведение аварийно-восстановит</w:t>
      </w:r>
      <w:r>
        <w:rPr>
          <w:lang w:val="ru-RU"/>
        </w:rPr>
        <w:t xml:space="preserve">е</w:t>
      </w:r>
      <w:r>
        <w:rPr>
          <w:lang w:val="ru-RU"/>
        </w:rPr>
        <w:t xml:space="preserve">льных работ внутренних помещений пищеблока в здании муниципального бюджетного общеобразовательного учреждения «Средняя общеобразовательная школа № 77 г.Владивостока» и закупку нового оборудования для обеспечения горячим питанием обучающихся МБОУ «СОШ №77»;</w:t>
      </w:r>
      <w:r>
        <w:rPr>
          <w:lang w:val="ru-RU"/>
        </w:rPr>
      </w:r>
      <w:r>
        <w:rPr>
          <w:lang w:val="ru-RU"/>
        </w:rPr>
      </w:r>
    </w:p>
    <w:p>
      <w:pPr>
        <w:pStyle w:val="926"/>
        <w:contextualSpacing/>
        <w:ind w:left="0" w:right="0" w:firstLine="709"/>
        <w:jc w:val="both"/>
        <w:keepNext w:val="0"/>
        <w:spacing w:line="360" w:lineRule="auto"/>
        <w:tabs>
          <w:tab w:val="left" w:pos="7509" w:leader="none"/>
        </w:tabs>
        <w:rPr>
          <w:lang w:val="ru-RU"/>
        </w:rPr>
      </w:pPr>
      <w:r>
        <w:rPr>
          <w:lang w:val="ru-RU"/>
        </w:rPr>
        <w:t xml:space="preserve">- на проведение аварийно-восстановит</w:t>
      </w:r>
      <w:r>
        <w:rPr>
          <w:lang w:val="ru-RU"/>
        </w:rPr>
        <w:t xml:space="preserve">ельных работ по ремонту балкона театрального корпуса в здании  муниципального автономного учреждения дополнительного образования «</w:t>
      </w:r>
      <w:r>
        <w:rPr>
          <w:b w:val="0"/>
          <w:bCs w:val="0"/>
          <w:highlight w:val="none"/>
          <w:lang w:val="ru-RU"/>
        </w:rPr>
        <w:t xml:space="preserve">Владивостокский</w:t>
      </w:r>
      <w:r>
        <w:rPr>
          <w:b w:val="0"/>
          <w:bCs w:val="0"/>
          <w:highlight w:val="none"/>
          <w:lang w:val="ru-RU"/>
        </w:rPr>
        <w:t xml:space="preserve"> городской </w:t>
      </w:r>
      <w:r>
        <w:rPr>
          <w:b w:val="0"/>
          <w:bCs w:val="0"/>
          <w:highlight w:val="none"/>
          <w:lang w:val="ru-RU"/>
        </w:rPr>
        <w:t xml:space="preserve">Дворец детского творчества</w:t>
      </w:r>
      <w:r>
        <w:rPr>
          <w:lang w:val="ru-RU"/>
        </w:rPr>
        <w:t xml:space="preserve">»;</w:t>
      </w:r>
      <w:r>
        <w:rPr>
          <w:lang w:val="ru-RU"/>
        </w:rPr>
      </w:r>
      <w:r>
        <w:rPr>
          <w:lang w:val="ru-RU"/>
        </w:rPr>
      </w:r>
    </w:p>
    <w:p>
      <w:pPr>
        <w:pStyle w:val="926"/>
        <w:contextualSpacing/>
        <w:ind w:left="0" w:right="0" w:firstLine="709"/>
        <w:jc w:val="both"/>
        <w:keepNext w:val="0"/>
        <w:spacing w:line="360" w:lineRule="auto"/>
        <w:tabs>
          <w:tab w:val="left" w:pos="7509" w:leader="none"/>
        </w:tabs>
        <w:rPr>
          <w:lang w:val="ru-RU"/>
        </w:rPr>
      </w:pPr>
      <w:r>
        <w:rPr>
          <w:lang w:val="ru-RU"/>
        </w:rPr>
        <w:t xml:space="preserve">- на проведение аварийно-восстановит</w:t>
      </w:r>
      <w:r>
        <w:rPr>
          <w:lang w:val="ru-RU"/>
        </w:rPr>
        <w:t xml:space="preserve">ельных работ помещения актового зала в здании муниципального бюджетного общеобразовательного учреждения «Средняя общеобразовательная школа № 9 с углубленным изучением китайского языка г. Владивостока»;</w:t>
      </w:r>
      <w:r>
        <w:rPr>
          <w:lang w:val="ru-RU"/>
        </w:rPr>
      </w:r>
      <w:r>
        <w:rPr>
          <w:lang w:val="ru-RU"/>
        </w:rPr>
      </w:r>
    </w:p>
    <w:p>
      <w:pPr>
        <w:ind w:left="0" w:right="0" w:firstLine="709"/>
        <w:jc w:val="both"/>
        <w:spacing w:line="360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lang w:val="ru-RU"/>
        </w:rPr>
        <w:t xml:space="preserve">- на предоставление субсидий из бюджета Владивостокского городского округа некоммерческим организациям, не являющимся</w:t>
      </w:r>
      <w:r>
        <w:rPr>
          <w:sz w:val="28"/>
          <w:szCs w:val="28"/>
          <w:lang w:val="ru-RU"/>
        </w:rPr>
        <w:t xml:space="preserve"> муниципальными учреждениями, на проведение мероприятий по увековечиванию памяти участников специальной военной операции, а также лиц, призванных на военную службу по мобилизации, в случае их гибели (смерти) в ходе участия в специальной военной операции; </w:t>
      </w:r>
      <w:r>
        <w:rPr>
          <w:sz w:val="28"/>
          <w:szCs w:val="28"/>
          <w:highlight w:val="none"/>
          <w:lang w:val="ru-RU"/>
        </w:rPr>
      </w:r>
      <w:r>
        <w:rPr>
          <w:sz w:val="28"/>
          <w:szCs w:val="28"/>
          <w:highlight w:val="none"/>
          <w:lang w:val="ru-RU"/>
        </w:rPr>
      </w:r>
    </w:p>
    <w:p>
      <w:pPr>
        <w:ind w:left="0" w:right="0" w:firstLine="709"/>
        <w:jc w:val="both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highlight w:val="none"/>
          <w:lang w:val="ru-RU"/>
        </w:rPr>
        <w:t xml:space="preserve">- на проведение аварийно-восстановительных работ дома № 3 по </w:t>
        <w:br/>
        <w:t xml:space="preserve">ул. Семеновская в городе Владивостоке</w:t>
      </w:r>
      <w:r>
        <w:rPr>
          <w:rStyle w:val="939"/>
          <w:rFonts w:ascii="Times New Roman" w:hAnsi="Times New Roman" w:cs="Times New Roman"/>
          <w:lang w:val="ru-RU"/>
        </w:rPr>
        <w:t xml:space="preserve">. 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926"/>
        <w:contextualSpacing/>
        <w:ind w:firstLine="709"/>
        <w:jc w:val="both"/>
        <w:keepNext w:val="0"/>
        <w:spacing w:line="360" w:lineRule="auto"/>
        <w:rPr>
          <w:lang w:val="ru-RU"/>
        </w:rPr>
      </w:pPr>
      <w:r>
        <w:rPr>
          <w:lang w:val="ru-RU"/>
        </w:rPr>
        <w:t xml:space="preserve">4. На финансовое обеспечение </w:t>
      </w:r>
      <w:r>
        <w:rPr>
          <w:lang w:val="ru-RU"/>
        </w:rPr>
        <w:t xml:space="preserve">мероприятий, направленных на ликвидацию предпосылок к возникновению чрезвычайной ситуации, недопущение ее развития, ликвидацию последствий, возникающих вследствие непреодолимой силы</w:t>
      </w:r>
      <w:r>
        <w:rPr>
          <w:lang w:val="ru-RU"/>
        </w:rPr>
        <w:t xml:space="preserve">, а именно проведение неотложных мероприятий по ликвидации последствий прохождения циклона путем заключения муниципальных контрактов с подрядными организациями, имеющими специализированную технику, для осуществления очистки от снега и наледи, обработки про</w:t>
      </w:r>
      <w:r>
        <w:rPr>
          <w:lang w:val="ru-RU"/>
        </w:rPr>
        <w:t xml:space="preserve">ти</w:t>
      </w:r>
      <w:r>
        <w:rPr>
          <w:lang w:val="ru-RU"/>
        </w:rPr>
        <w:t xml:space="preserve">вогололедными материалами, реагентами дорожного полотна, элементов обустройства улично-дорожной сети, в том числе тротуаров и остановок общественного транспорта, на погрузку, вывоз снега и наледи на площадку временного складирования снега, очистку от снега</w:t>
      </w:r>
      <w:r>
        <w:rPr>
          <w:lang w:val="ru-RU"/>
        </w:rPr>
        <w:t xml:space="preserve"> </w:t>
      </w:r>
      <w:r>
        <w:rPr>
          <w:lang w:val="ru-RU"/>
        </w:rPr>
        <w:t xml:space="preserve">и льда, обработку противогололедными материалами дорожного полотна, элементов улично-дорожной сети, в том числе тротуаров, лестниц, площадок отдыха, стоянок автомобилей и остановок общественного транспорта на территории Владивостокского городского округа, </w:t>
      </w:r>
      <w:r>
        <w:rPr>
          <w:rStyle w:val="939"/>
          <w:rFonts w:ascii="Times New Roman" w:hAnsi="Times New Roman" w:cs="Times New Roman"/>
          <w:lang w:val="ru-RU"/>
        </w:rPr>
        <w:t xml:space="preserve">выделены из резервного фонда бюджетные ассигнования в объеме 9 831 500,00 рублей израсходовано </w:t>
        <w:br/>
      </w:r>
      <w:r>
        <w:rPr>
          <w:rStyle w:val="939"/>
          <w:rFonts w:ascii="Times New Roman" w:hAnsi="Times New Roman" w:cs="Times New Roman"/>
          <w:lang w:val="ru-RU"/>
        </w:rPr>
        <w:t xml:space="preserve">9 831 500,00</w:t>
      </w:r>
      <w:r>
        <w:rPr>
          <w:rStyle w:val="939"/>
          <w:rFonts w:ascii="Times New Roman" w:hAnsi="Times New Roman" w:cs="Times New Roman"/>
          <w:lang w:val="ru-RU"/>
        </w:rPr>
        <w:t xml:space="preserve"> рублей. </w:t>
      </w:r>
      <w:r>
        <w:rPr>
          <w:lang w:val="ru-RU"/>
        </w:rPr>
      </w:r>
      <w:r>
        <w:rPr>
          <w:lang w:val="ru-RU"/>
        </w:rPr>
      </w:r>
    </w:p>
    <w:p>
      <w:pPr>
        <w:ind w:firstLine="567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rStyle w:val="939"/>
          <w:rFonts w:ascii="Times New Roman" w:hAnsi="Times New Roman" w:cs="Times New Roman"/>
          <w:sz w:val="28"/>
          <w:szCs w:val="28"/>
        </w:rPr>
        <w:t xml:space="preserve">На </w:t>
      </w:r>
      <w:r>
        <w:rPr>
          <w:sz w:val="28"/>
          <w:szCs w:val="28"/>
          <w:lang w:val="ru-RU"/>
        </w:rPr>
        <w:t xml:space="preserve">финансовое обеспечение </w:t>
      </w:r>
      <w:r>
        <w:rPr>
          <w:sz w:val="28"/>
          <w:szCs w:val="28"/>
          <w:lang w:val="ru-RU"/>
        </w:rPr>
        <w:t xml:space="preserve">мероприятий, направленных на максимально возможное уменьшение риска возникновения чрезвычайных ситуаций на территории Владивостокского городского округа, сниж</w:t>
      </w:r>
      <w:r>
        <w:rPr>
          <w:sz w:val="28"/>
          <w:szCs w:val="28"/>
          <w:lang w:val="ru-RU"/>
        </w:rPr>
        <w:t xml:space="preserve">ение размеров возможного ущерба окружающей природной среде и материаль</w:t>
      </w:r>
      <w:r>
        <w:rPr>
          <w:sz w:val="28"/>
          <w:szCs w:val="28"/>
          <w:lang w:val="ru-RU"/>
        </w:rPr>
        <w:t xml:space="preserve">ных потерь в случае их возникновения, путем проведения работ по разработке рабочей документации и выполнения  работ по обустройству площадки для размещения насосной станции для перекачки дождевой воды из устанавливаемого резервуара с последующим сбросом в</w:t>
      </w:r>
      <w:r>
        <w:rPr>
          <w:sz w:val="28"/>
          <w:szCs w:val="28"/>
          <w:lang w:val="ru-RU"/>
        </w:rPr>
        <w:t xml:space="preserve"> ливневой коллектор с кадастровым номером 25</w:t>
      </w:r>
      <w:r>
        <w:rPr>
          <w:sz w:val="28"/>
          <w:szCs w:val="28"/>
          <w:lang w:val="ru-RU"/>
        </w:rPr>
        <w:t xml:space="preserve">:</w:t>
      </w:r>
      <w:r>
        <w:rPr>
          <w:sz w:val="28"/>
          <w:szCs w:val="28"/>
          <w:lang w:val="ru-RU"/>
        </w:rPr>
        <w:t xml:space="preserve">2</w:t>
      </w:r>
      <w:r>
        <w:rPr>
          <w:sz w:val="28"/>
          <w:szCs w:val="28"/>
          <w:lang w:val="ru-RU"/>
        </w:rPr>
        <w:t xml:space="preserve">8</w:t>
      </w:r>
      <w:r>
        <w:rPr>
          <w:sz w:val="28"/>
          <w:szCs w:val="28"/>
          <w:lang w:val="ru-RU"/>
        </w:rPr>
        <w:t xml:space="preserve">: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:</w:t>
      </w:r>
      <w:r>
        <w:rPr>
          <w:sz w:val="28"/>
          <w:szCs w:val="28"/>
          <w:lang w:val="ru-RU"/>
        </w:rPr>
        <w:t xml:space="preserve">2</w:t>
      </w:r>
      <w:r>
        <w:rPr>
          <w:sz w:val="28"/>
          <w:szCs w:val="28"/>
          <w:lang w:val="ru-RU"/>
        </w:rPr>
        <w:t xml:space="preserve">2</w:t>
      </w:r>
      <w:r>
        <w:rPr>
          <w:sz w:val="28"/>
          <w:szCs w:val="28"/>
          <w:lang w:val="ru-RU"/>
        </w:rPr>
        <w:t xml:space="preserve">7</w:t>
      </w:r>
      <w:r>
        <w:rPr>
          <w:sz w:val="28"/>
          <w:szCs w:val="28"/>
          <w:lang w:val="ru-RU"/>
        </w:rPr>
        <w:t xml:space="preserve">3</w:t>
      </w:r>
      <w:r>
        <w:rPr>
          <w:sz w:val="28"/>
          <w:szCs w:val="28"/>
          <w:lang w:val="ru-RU"/>
        </w:rPr>
        <w:t xml:space="preserve">4 в районе стадиона «Динамо» на территории Владивостокского городского округа,</w:t>
      </w:r>
      <w:r>
        <w:rPr>
          <w:rStyle w:val="939"/>
          <w:rFonts w:ascii="Times New Roman" w:hAnsi="Times New Roman" w:cs="Times New Roman"/>
          <w:sz w:val="28"/>
          <w:szCs w:val="28"/>
        </w:rPr>
        <w:t xml:space="preserve"> выделены из резервного фонда бюджетные ассигнования в объеме 34 000 000,00 рублей, израсходовано</w:t>
      </w:r>
      <w:r>
        <w:rPr>
          <w:rStyle w:val="939"/>
          <w:rFonts w:ascii="Times New Roman" w:hAnsi="Times New Roman" w:cs="Times New Roman"/>
          <w:sz w:val="28"/>
          <w:szCs w:val="28"/>
        </w:rPr>
        <w:t xml:space="preserve"> 32 521 828,24 р</w:t>
      </w:r>
      <w:r>
        <w:rPr>
          <w:rStyle w:val="939"/>
          <w:rFonts w:ascii="Times New Roman" w:hAnsi="Times New Roman" w:cs="Times New Roman"/>
          <w:sz w:val="28"/>
          <w:szCs w:val="28"/>
        </w:rPr>
        <w:t xml:space="preserve">ублей.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contextualSpacing/>
        <w:ind w:firstLine="567"/>
        <w:jc w:val="both"/>
        <w:keepNext w:val="0"/>
        <w:spacing w:line="360" w:lineRule="auto"/>
        <w:rPr>
          <w:rStyle w:val="939"/>
          <w:rFonts w:ascii="Times New Roman" w:hAnsi="Times New Roman" w:cs="Times New Roman"/>
          <w:sz w:val="28"/>
          <w:szCs w:val="28"/>
        </w:rPr>
      </w:pPr>
      <w:r>
        <w:rPr>
          <w:lang w:val="ru-RU"/>
        </w:rPr>
        <w:t xml:space="preserve">6. На</w:t>
      </w:r>
      <w:r>
        <w:rPr>
          <w:rStyle w:val="939"/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финансовое обеспечение </w:t>
      </w:r>
      <w:r>
        <w:rPr>
          <w:sz w:val="28"/>
          <w:szCs w:val="28"/>
          <w:lang w:val="ru-RU"/>
        </w:rPr>
        <w:t xml:space="preserve">мероприятий, направленных на ликвидацию предпосылок к возникновению чрезвычайных ситуаций</w:t>
      </w:r>
      <w:r>
        <w:rPr>
          <w:lang w:val="ru-RU"/>
        </w:rPr>
        <w:t xml:space="preserve">, недопущения их развития, спасение жизни и сохранение здоровья людей, а именно демонтаж аварийных элементов конструкции пирса № 1, протяженностью 68 м, </w:t>
      </w:r>
      <w:r>
        <w:rPr>
          <w:sz w:val="28"/>
          <w:szCs w:val="28"/>
          <w:lang w:val="ru-RU"/>
        </w:rPr>
        <w:t xml:space="preserve">кадастровый номер 25</w:t>
      </w:r>
      <w:r>
        <w:rPr>
          <w:sz w:val="28"/>
          <w:szCs w:val="28"/>
          <w:lang w:val="ru-RU"/>
        </w:rPr>
        <w:t xml:space="preserve">:</w:t>
      </w:r>
      <w:r>
        <w:rPr>
          <w:sz w:val="28"/>
          <w:szCs w:val="28"/>
          <w:lang w:val="ru-RU"/>
        </w:rPr>
        <w:t xml:space="preserve">2</w:t>
      </w:r>
      <w:r>
        <w:rPr>
          <w:sz w:val="28"/>
          <w:szCs w:val="28"/>
          <w:lang w:val="ru-RU"/>
        </w:rPr>
        <w:t xml:space="preserve">8</w:t>
      </w:r>
      <w:r>
        <w:rPr>
          <w:sz w:val="28"/>
          <w:szCs w:val="28"/>
          <w:lang w:val="ru-RU"/>
        </w:rPr>
        <w:t xml:space="preserve">: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:</w:t>
      </w:r>
      <w:r>
        <w:rPr>
          <w:sz w:val="28"/>
          <w:szCs w:val="28"/>
          <w:lang w:val="ru-RU"/>
        </w:rPr>
        <w:t xml:space="preserve">21300, находящегося в границах муниципального земельного участка площадью 496 кв.м с кадастровым номером </w:t>
      </w:r>
      <w:r>
        <w:rPr>
          <w:sz w:val="28"/>
          <w:szCs w:val="28"/>
          <w:lang w:val="ru-RU"/>
        </w:rPr>
        <w:t xml:space="preserve">25</w:t>
      </w:r>
      <w:r>
        <w:rPr>
          <w:sz w:val="28"/>
          <w:szCs w:val="28"/>
          <w:lang w:val="ru-RU"/>
        </w:rPr>
        <w:t xml:space="preserve">:</w:t>
      </w:r>
      <w:r>
        <w:rPr>
          <w:sz w:val="28"/>
          <w:szCs w:val="28"/>
          <w:lang w:val="ru-RU"/>
        </w:rPr>
        <w:t xml:space="preserve">2</w:t>
      </w:r>
      <w:r>
        <w:rPr>
          <w:sz w:val="28"/>
          <w:szCs w:val="28"/>
          <w:lang w:val="ru-RU"/>
        </w:rPr>
        <w:t xml:space="preserve">8</w:t>
      </w:r>
      <w:r>
        <w:rPr>
          <w:sz w:val="28"/>
          <w:szCs w:val="28"/>
          <w:lang w:val="ru-RU"/>
        </w:rPr>
        <w:t xml:space="preserve">: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0</w:t>
      </w:r>
      <w:r>
        <w:rPr>
          <w:sz w:val="28"/>
          <w:szCs w:val="28"/>
          <w:lang w:val="ru-RU"/>
        </w:rPr>
        <w:t xml:space="preserve">:67814</w:t>
      </w:r>
      <w:r>
        <w:rPr>
          <w:sz w:val="28"/>
          <w:szCs w:val="28"/>
          <w:lang w:val="ru-RU"/>
        </w:rPr>
        <w:t xml:space="preserve">, расположенного в районе ул. Батарейная, д. 2 </w:t>
        <w:br/>
        <w:t xml:space="preserve">в г. Владивостоке, путем заключения муници</w:t>
      </w:r>
      <w:r>
        <w:rPr>
          <w:sz w:val="28"/>
          <w:szCs w:val="28"/>
          <w:lang w:val="ru-RU"/>
        </w:rPr>
        <w:t xml:space="preserve">п</w:t>
      </w:r>
      <w:r>
        <w:rPr>
          <w:sz w:val="28"/>
          <w:szCs w:val="28"/>
          <w:lang w:val="ru-RU"/>
        </w:rPr>
        <w:t xml:space="preserve">а</w:t>
      </w:r>
      <w:r>
        <w:rPr>
          <w:sz w:val="28"/>
          <w:szCs w:val="28"/>
          <w:lang w:val="ru-RU"/>
        </w:rPr>
        <w:t xml:space="preserve">льного контракта (договора) со специализированной подрядной организацией за выполнение работ по демонтажу аварийных элементов конструкции сооружения в соответствии с установленными требованиями и нормами действующего законодательства Российской Федерации, </w:t>
      </w:r>
      <w:r>
        <w:rPr>
          <w:rStyle w:val="939"/>
          <w:rFonts w:ascii="Times New Roman" w:hAnsi="Times New Roman" w:cs="Times New Roman"/>
          <w:lang w:val="ru-RU"/>
        </w:rPr>
        <w:t xml:space="preserve">выделены из резервного фонда бюджетные </w:t>
      </w:r>
      <w:r>
        <w:rPr>
          <w:rStyle w:val="939"/>
          <w:rFonts w:ascii="Times New Roman" w:hAnsi="Times New Roman" w:cs="Times New Roman"/>
          <w:sz w:val="28"/>
          <w:szCs w:val="28"/>
          <w:lang w:val="ru-RU"/>
        </w:rPr>
        <w:t xml:space="preserve">ассигнования в объеме </w:t>
      </w:r>
      <w:r>
        <w:rPr>
          <w:rStyle w:val="939"/>
          <w:rFonts w:ascii="Times New Roman" w:hAnsi="Times New Roman" w:cs="Times New Roman"/>
          <w:sz w:val="28"/>
          <w:szCs w:val="28"/>
          <w:lang w:val="ru-RU"/>
        </w:rPr>
        <w:t xml:space="preserve">9 732 139,99</w:t>
      </w:r>
      <w:r>
        <w:rPr>
          <w:rStyle w:val="939"/>
          <w:rFonts w:ascii="Times New Roman" w:hAnsi="Times New Roman" w:cs="Times New Roman"/>
          <w:sz w:val="28"/>
          <w:szCs w:val="28"/>
          <w:lang w:val="ru-RU"/>
        </w:rPr>
        <w:t xml:space="preserve"> рублей, </w:t>
      </w:r>
      <w:r>
        <w:rPr>
          <w:rStyle w:val="939"/>
          <w:rFonts w:ascii="Times New Roman" w:hAnsi="Times New Roman" w:cs="Times New Roman"/>
          <w:sz w:val="28"/>
          <w:szCs w:val="28"/>
          <w:lang w:val="ru-RU"/>
        </w:rPr>
        <w:t xml:space="preserve">израсходован </w:t>
      </w:r>
      <w:r>
        <w:rPr>
          <w:rStyle w:val="939"/>
          <w:rFonts w:ascii="Times New Roman" w:hAnsi="Times New Roman" w:cs="Times New Roman"/>
          <w:sz w:val="28"/>
          <w:szCs w:val="28"/>
          <w:lang w:val="ru-RU"/>
        </w:rPr>
        <w:t xml:space="preserve">9 732 139,99</w:t>
      </w:r>
      <w:r>
        <w:rPr>
          <w:rStyle w:val="939"/>
          <w:rFonts w:ascii="Times New Roman" w:hAnsi="Times New Roman" w:cs="Times New Roman"/>
          <w:sz w:val="28"/>
          <w:szCs w:val="28"/>
          <w:lang w:val="ru-RU"/>
        </w:rPr>
        <w:t xml:space="preserve"> рублей. </w:t>
      </w:r>
      <w:r>
        <w:rPr>
          <w:rStyle w:val="939"/>
          <w:rFonts w:ascii="Times New Roman" w:hAnsi="Times New Roman" w:cs="Times New Roman"/>
          <w:sz w:val="28"/>
          <w:szCs w:val="28"/>
        </w:rPr>
      </w:r>
      <w:r>
        <w:rPr>
          <w:rStyle w:val="939"/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25"/>
        <w:gridCol w:w="4677"/>
      </w:tblGrid>
      <w:tr>
        <w:tblPrEx/>
        <w:trPr>
          <w:jc w:val="left"/>
          <w:trHeight w:val="883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76" w:type="dxa"/>
            <w:vAlign w:val="top"/>
            <w:textDirection w:val="lrTb"/>
            <w:noWrap w:val="false"/>
          </w:tcPr>
          <w:p>
            <w:pPr>
              <w:pStyle w:val="738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8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8"/>
              </w:rPr>
              <w:t xml:space="preserve">Начальник </w:t>
            </w:r>
            <w:r>
              <w:rPr>
                <w:rFonts w:ascii="TimesNewRoman" w:hAnsi="TimesNewRoman" w:eastAsia="TimesNewRoman" w:cs="TimesNewRoman"/>
                <w:color w:val="000000"/>
                <w:sz w:val="28"/>
              </w:rPr>
              <w:t xml:space="preserve">У</w:t>
            </w:r>
            <w:r>
              <w:rPr>
                <w:rFonts w:ascii="TimesNewRoman" w:hAnsi="TimesNewRoman" w:eastAsia="TimesNewRoman" w:cs="TimesNewRoman"/>
                <w:color w:val="000000"/>
                <w:sz w:val="28"/>
              </w:rPr>
              <w:t xml:space="preserve">правления финансов администрации города Владивостока</w:t>
            </w:r>
            <w:r>
              <w:rPr>
                <w:rFonts w:ascii="TimesNewRoman" w:hAnsi="TimesNewRoman" w:eastAsia="TimesNewRoman" w:cs="TimesNewRoman"/>
                <w:sz w:val="28"/>
              </w:rPr>
            </w:r>
            <w:r>
              <w:rPr>
                <w:rFonts w:ascii="TimesNewRoman" w:hAnsi="TimesNewRoman" w:eastAsia="TimesNewRoman" w:cs="TimesNewRoman"/>
                <w:sz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pStyle w:val="738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8"/>
              </w:rPr>
            </w:pPr>
            <w:r>
              <w:rPr>
                <w:rFonts w:ascii="TimesNewRoman" w:hAnsi="TimesNewRoman" w:eastAsia="TimesNewRoman" w:cs="TimesNewRoman"/>
                <w:sz w:val="28"/>
              </w:rPr>
            </w:r>
            <w:r>
              <w:rPr>
                <w:rFonts w:ascii="TimesNewRoman" w:hAnsi="TimesNewRoman" w:eastAsia="TimesNewRoman" w:cs="TimesNewRoman"/>
                <w:sz w:val="28"/>
              </w:rPr>
            </w:r>
            <w:r>
              <w:rPr>
                <w:rFonts w:ascii="TimesNewRoman" w:hAnsi="TimesNewRoman" w:eastAsia="TimesNewRoman" w:cs="TimesNewRoman"/>
                <w:sz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77" w:type="dxa"/>
            <w:vAlign w:val="top"/>
            <w:textDirection w:val="lrTb"/>
            <w:noWrap w:val="false"/>
          </w:tcPr>
          <w:p>
            <w:pPr>
              <w:pStyle w:val="738"/>
              <w:ind w:left="0" w:right="125" w:firstLine="0"/>
              <w:jc w:val="right"/>
              <w:spacing w:before="0" w:after="0" w:line="240" w:lineRule="auto"/>
              <w:rPr>
                <w:rFonts w:ascii="TimesNewRoman" w:hAnsi="TimesNewRoman" w:eastAsia="TimesNewRoman" w:cs="TimesNewRoman"/>
                <w:sz w:val="28"/>
              </w:rPr>
            </w:pPr>
            <w:r>
              <w:rPr>
                <w:rFonts w:ascii="TimesNewRoman" w:hAnsi="TimesNewRoman" w:eastAsia="TimesNewRoman" w:cs="TimesNewRoman"/>
                <w:color w:val="000000"/>
                <w:sz w:val="28"/>
              </w:rPr>
              <w:t xml:space="preserve">Н.Н. Лукьяненко</w:t>
            </w:r>
            <w:r>
              <w:rPr>
                <w:rFonts w:ascii="TimesNewRoman" w:hAnsi="TimesNewRoman" w:eastAsia="TimesNewRoman" w:cs="TimesNewRoman"/>
                <w:sz w:val="28"/>
              </w:rPr>
            </w:r>
            <w:r>
              <w:rPr>
                <w:rFonts w:ascii="TimesNewRoman" w:hAnsi="TimesNewRoman" w:eastAsia="TimesNewRoman" w:cs="TimesNewRoman"/>
                <w:sz w:val="28"/>
              </w:rPr>
            </w:r>
          </w:p>
        </w:tc>
      </w:tr>
    </w:tbl>
    <w:p>
      <w:pPr>
        <w:rPr>
          <w:highlight w:val="white"/>
        </w:rPr>
      </w:pPr>
      <w:r>
        <w:rPr>
          <w:highlight w:val="white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851" w:bottom="1134" w:left="1418" w:header="567" w:footer="709" w:gutter="0"/>
      <w:pgNumType w:start="1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>
    <w:panose1 w:val="02020603050405020304"/>
  </w:font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</w:t>
    </w:r>
    <w:r>
      <w:fldChar w:fldCharType="end"/>
    </w:r>
    <w:r/>
  </w:p>
  <w:p>
    <w:pPr>
      <w:pStyle w:val="93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rPr>
        <w:rStyle w:val="933"/>
      </w:rPr>
      <w:framePr w:wrap="around" w:vAnchor="text" w:hAnchor="margin" w:xAlign="center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93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6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8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0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2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6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8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24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276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14"/>
  </w:num>
  <w:num w:numId="3">
    <w:abstractNumId w:val="1"/>
  </w:num>
  <w:num w:numId="4">
    <w:abstractNumId w:val="12"/>
  </w:num>
  <w:num w:numId="5">
    <w:abstractNumId w:val="13"/>
  </w:num>
  <w:num w:numId="6">
    <w:abstractNumId w:val="5"/>
  </w:num>
  <w:num w:numId="7">
    <w:abstractNumId w:val="15"/>
  </w:num>
  <w:num w:numId="8">
    <w:abstractNumId w:val="17"/>
  </w:num>
  <w:num w:numId="9">
    <w:abstractNumId w:val="0"/>
  </w:num>
  <w:num w:numId="10">
    <w:abstractNumId w:val="2"/>
  </w:num>
  <w:num w:numId="11">
    <w:abstractNumId w:val="9"/>
  </w:num>
  <w:num w:numId="12">
    <w:abstractNumId w:val="7"/>
  </w:num>
  <w:num w:numId="13">
    <w:abstractNumId w:val="11"/>
  </w:num>
  <w:num w:numId="14">
    <w:abstractNumId w:val="6"/>
  </w:num>
  <w:num w:numId="15">
    <w:abstractNumId w:val="4"/>
  </w:num>
  <w:num w:numId="16">
    <w:abstractNumId w:val="8"/>
  </w:num>
  <w:num w:numId="17">
    <w:abstractNumId w:val="16"/>
  </w:num>
  <w:num w:numId="18">
    <w:abstractNumId w:val="10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2">
    <w:name w:val="Title Char"/>
    <w:basedOn w:val="739"/>
    <w:link w:val="762"/>
    <w:uiPriority w:val="10"/>
    <w:rPr>
      <w:sz w:val="48"/>
      <w:szCs w:val="48"/>
    </w:rPr>
  </w:style>
  <w:style w:type="character" w:styleId="733">
    <w:name w:val="Subtitle Char"/>
    <w:basedOn w:val="739"/>
    <w:link w:val="764"/>
    <w:uiPriority w:val="11"/>
    <w:rPr>
      <w:sz w:val="24"/>
      <w:szCs w:val="24"/>
    </w:rPr>
  </w:style>
  <w:style w:type="character" w:styleId="734">
    <w:name w:val="Quote Char"/>
    <w:link w:val="766"/>
    <w:uiPriority w:val="29"/>
    <w:rPr>
      <w:i/>
    </w:rPr>
  </w:style>
  <w:style w:type="character" w:styleId="735">
    <w:name w:val="Intense Quote Char"/>
    <w:link w:val="768"/>
    <w:uiPriority w:val="30"/>
    <w:rPr>
      <w:i/>
    </w:rPr>
  </w:style>
  <w:style w:type="character" w:styleId="736">
    <w:name w:val="Footnote Text Char"/>
    <w:link w:val="903"/>
    <w:uiPriority w:val="99"/>
    <w:rPr>
      <w:sz w:val="18"/>
    </w:rPr>
  </w:style>
  <w:style w:type="character" w:styleId="737">
    <w:name w:val="Endnote Text Char"/>
    <w:link w:val="906"/>
    <w:uiPriority w:val="99"/>
    <w:rPr>
      <w:sz w:val="20"/>
    </w:rPr>
  </w:style>
  <w:style w:type="paragraph" w:styleId="738" w:default="1">
    <w:name w:val="Normal"/>
    <w:qFormat/>
    <w:rPr>
      <w:lang w:eastAsia="ru-RU"/>
    </w:rPr>
  </w:style>
  <w:style w:type="character" w:styleId="739" w:default="1">
    <w:name w:val="Default Paragraph Font"/>
    <w:uiPriority w:val="1"/>
    <w:semiHidden/>
    <w:unhideWhenUsed/>
  </w:style>
  <w:style w:type="table" w:styleId="740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1" w:default="1">
    <w:name w:val="No List"/>
    <w:uiPriority w:val="99"/>
    <w:semiHidden/>
    <w:unhideWhenUsed/>
  </w:style>
  <w:style w:type="paragraph" w:styleId="742" w:customStyle="1">
    <w:name w:val="Heading 1"/>
    <w:basedOn w:val="738"/>
    <w:next w:val="738"/>
    <w:link w:val="74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3" w:customStyle="1">
    <w:name w:val="Heading 1 Char"/>
    <w:link w:val="742"/>
    <w:uiPriority w:val="9"/>
    <w:rPr>
      <w:rFonts w:ascii="Arial" w:hAnsi="Arial" w:eastAsia="Arial" w:cs="Arial"/>
      <w:sz w:val="40"/>
      <w:szCs w:val="40"/>
    </w:rPr>
  </w:style>
  <w:style w:type="paragraph" w:styleId="744" w:customStyle="1">
    <w:name w:val="Heading 2"/>
    <w:basedOn w:val="738"/>
    <w:next w:val="738"/>
    <w:link w:val="7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5" w:customStyle="1">
    <w:name w:val="Heading 2 Char"/>
    <w:link w:val="744"/>
    <w:uiPriority w:val="9"/>
    <w:rPr>
      <w:rFonts w:ascii="Arial" w:hAnsi="Arial" w:eastAsia="Arial" w:cs="Arial"/>
      <w:sz w:val="34"/>
    </w:rPr>
  </w:style>
  <w:style w:type="paragraph" w:styleId="746" w:customStyle="1">
    <w:name w:val="Heading 3"/>
    <w:basedOn w:val="738"/>
    <w:next w:val="738"/>
    <w:link w:val="74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7" w:customStyle="1">
    <w:name w:val="Heading 3 Char"/>
    <w:link w:val="746"/>
    <w:uiPriority w:val="9"/>
    <w:rPr>
      <w:rFonts w:ascii="Arial" w:hAnsi="Arial" w:eastAsia="Arial" w:cs="Arial"/>
      <w:sz w:val="30"/>
      <w:szCs w:val="30"/>
    </w:rPr>
  </w:style>
  <w:style w:type="paragraph" w:styleId="748" w:customStyle="1">
    <w:name w:val="Heading 4"/>
    <w:basedOn w:val="738"/>
    <w:next w:val="738"/>
    <w:link w:val="7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9" w:customStyle="1">
    <w:name w:val="Heading 4 Char"/>
    <w:link w:val="748"/>
    <w:uiPriority w:val="9"/>
    <w:rPr>
      <w:rFonts w:ascii="Arial" w:hAnsi="Arial" w:eastAsia="Arial" w:cs="Arial"/>
      <w:b/>
      <w:bCs/>
      <w:sz w:val="26"/>
      <w:szCs w:val="26"/>
    </w:rPr>
  </w:style>
  <w:style w:type="paragraph" w:styleId="750" w:customStyle="1">
    <w:name w:val="Heading 5"/>
    <w:basedOn w:val="738"/>
    <w:next w:val="738"/>
    <w:link w:val="75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1" w:customStyle="1">
    <w:name w:val="Heading 5 Char"/>
    <w:link w:val="750"/>
    <w:uiPriority w:val="9"/>
    <w:rPr>
      <w:rFonts w:ascii="Arial" w:hAnsi="Arial" w:eastAsia="Arial" w:cs="Arial"/>
      <w:b/>
      <w:bCs/>
      <w:sz w:val="24"/>
      <w:szCs w:val="24"/>
    </w:rPr>
  </w:style>
  <w:style w:type="paragraph" w:styleId="752" w:customStyle="1">
    <w:name w:val="Heading 6"/>
    <w:basedOn w:val="738"/>
    <w:next w:val="738"/>
    <w:link w:val="7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3" w:customStyle="1">
    <w:name w:val="Heading 6 Char"/>
    <w:link w:val="752"/>
    <w:uiPriority w:val="9"/>
    <w:rPr>
      <w:rFonts w:ascii="Arial" w:hAnsi="Arial" w:eastAsia="Arial" w:cs="Arial"/>
      <w:b/>
      <w:bCs/>
      <w:sz w:val="22"/>
      <w:szCs w:val="22"/>
    </w:rPr>
  </w:style>
  <w:style w:type="paragraph" w:styleId="754" w:customStyle="1">
    <w:name w:val="Heading 7"/>
    <w:basedOn w:val="738"/>
    <w:next w:val="738"/>
    <w:link w:val="7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5" w:customStyle="1">
    <w:name w:val="Heading 7 Char"/>
    <w:link w:val="7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6" w:customStyle="1">
    <w:name w:val="Heading 8"/>
    <w:basedOn w:val="738"/>
    <w:next w:val="738"/>
    <w:link w:val="7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7" w:customStyle="1">
    <w:name w:val="Heading 8 Char"/>
    <w:link w:val="756"/>
    <w:uiPriority w:val="9"/>
    <w:rPr>
      <w:rFonts w:ascii="Arial" w:hAnsi="Arial" w:eastAsia="Arial" w:cs="Arial"/>
      <w:i/>
      <w:iCs/>
      <w:sz w:val="22"/>
      <w:szCs w:val="22"/>
    </w:rPr>
  </w:style>
  <w:style w:type="paragraph" w:styleId="758" w:customStyle="1">
    <w:name w:val="Heading 9"/>
    <w:basedOn w:val="738"/>
    <w:next w:val="738"/>
    <w:link w:val="7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9" w:customStyle="1">
    <w:name w:val="Heading 9 Char"/>
    <w:link w:val="758"/>
    <w:uiPriority w:val="9"/>
    <w:rPr>
      <w:rFonts w:ascii="Arial" w:hAnsi="Arial" w:eastAsia="Arial" w:cs="Arial"/>
      <w:i/>
      <w:iCs/>
      <w:sz w:val="21"/>
      <w:szCs w:val="21"/>
    </w:rPr>
  </w:style>
  <w:style w:type="paragraph" w:styleId="760">
    <w:name w:val="List Paragraph"/>
    <w:basedOn w:val="738"/>
    <w:uiPriority w:val="34"/>
    <w:qFormat/>
    <w:pPr>
      <w:contextualSpacing/>
      <w:ind w:left="720"/>
    </w:pPr>
  </w:style>
  <w:style w:type="paragraph" w:styleId="761">
    <w:name w:val="No Spacing"/>
    <w:uiPriority w:val="1"/>
    <w:qFormat/>
  </w:style>
  <w:style w:type="paragraph" w:styleId="762">
    <w:name w:val="Title"/>
    <w:basedOn w:val="738"/>
    <w:next w:val="738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 w:customStyle="1">
    <w:name w:val="Название Знак"/>
    <w:link w:val="762"/>
    <w:uiPriority w:val="10"/>
    <w:rPr>
      <w:sz w:val="48"/>
      <w:szCs w:val="48"/>
    </w:rPr>
  </w:style>
  <w:style w:type="paragraph" w:styleId="764">
    <w:name w:val="Subtitle"/>
    <w:basedOn w:val="738"/>
    <w:next w:val="738"/>
    <w:link w:val="765"/>
    <w:uiPriority w:val="11"/>
    <w:qFormat/>
    <w:pPr>
      <w:spacing w:before="200" w:after="200"/>
    </w:pPr>
    <w:rPr>
      <w:sz w:val="24"/>
      <w:szCs w:val="24"/>
    </w:rPr>
  </w:style>
  <w:style w:type="character" w:styleId="765" w:customStyle="1">
    <w:name w:val="Подзаголовок Знак"/>
    <w:link w:val="764"/>
    <w:uiPriority w:val="11"/>
    <w:rPr>
      <w:sz w:val="24"/>
      <w:szCs w:val="24"/>
    </w:rPr>
  </w:style>
  <w:style w:type="paragraph" w:styleId="766">
    <w:name w:val="Quote"/>
    <w:basedOn w:val="738"/>
    <w:next w:val="738"/>
    <w:link w:val="767"/>
    <w:uiPriority w:val="29"/>
    <w:qFormat/>
    <w:pPr>
      <w:ind w:left="720" w:right="720"/>
    </w:pPr>
    <w:rPr>
      <w:i/>
    </w:rPr>
  </w:style>
  <w:style w:type="character" w:styleId="767" w:customStyle="1">
    <w:name w:val="Цитата 2 Знак"/>
    <w:link w:val="766"/>
    <w:uiPriority w:val="29"/>
    <w:rPr>
      <w:i/>
    </w:rPr>
  </w:style>
  <w:style w:type="paragraph" w:styleId="768">
    <w:name w:val="Intense Quote"/>
    <w:basedOn w:val="738"/>
    <w:next w:val="738"/>
    <w:link w:val="76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9" w:customStyle="1">
    <w:name w:val="Выделенная цитата Знак"/>
    <w:link w:val="768"/>
    <w:uiPriority w:val="30"/>
    <w:rPr>
      <w:i/>
    </w:rPr>
  </w:style>
  <w:style w:type="paragraph" w:styleId="770" w:customStyle="1">
    <w:name w:val="Header"/>
    <w:basedOn w:val="738"/>
    <w:link w:val="77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71" w:customStyle="1">
    <w:name w:val="Header Char"/>
    <w:link w:val="770"/>
    <w:uiPriority w:val="99"/>
  </w:style>
  <w:style w:type="paragraph" w:styleId="772" w:customStyle="1">
    <w:name w:val="Footer"/>
    <w:basedOn w:val="738"/>
    <w:link w:val="775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73" w:customStyle="1">
    <w:name w:val="Footer Char"/>
    <w:link w:val="772"/>
    <w:uiPriority w:val="99"/>
  </w:style>
  <w:style w:type="paragraph" w:styleId="774" w:customStyle="1">
    <w:name w:val="Caption"/>
    <w:basedOn w:val="738"/>
    <w:next w:val="738"/>
    <w:link w:val="77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5" w:customStyle="1">
    <w:name w:val="Caption Char"/>
    <w:link w:val="772"/>
    <w:uiPriority w:val="99"/>
  </w:style>
  <w:style w:type="table" w:styleId="776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9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0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1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5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6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7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8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9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0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1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9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0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1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2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3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4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5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6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8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9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0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1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2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3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4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3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4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5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6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7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8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0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1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2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3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4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5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6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7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8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9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0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1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2">
    <w:name w:val="Hyperlink"/>
    <w:rPr>
      <w:color w:val="0000ff"/>
      <w:u w:val="single"/>
    </w:rPr>
  </w:style>
  <w:style w:type="paragraph" w:styleId="903">
    <w:name w:val="footnote text"/>
    <w:basedOn w:val="738"/>
    <w:link w:val="904"/>
    <w:uiPriority w:val="99"/>
    <w:semiHidden/>
    <w:unhideWhenUsed/>
    <w:pPr>
      <w:spacing w:after="40"/>
    </w:pPr>
    <w:rPr>
      <w:sz w:val="18"/>
    </w:rPr>
  </w:style>
  <w:style w:type="character" w:styleId="904" w:customStyle="1">
    <w:name w:val="Текст сноски Знак"/>
    <w:link w:val="903"/>
    <w:uiPriority w:val="99"/>
    <w:rPr>
      <w:sz w:val="18"/>
    </w:rPr>
  </w:style>
  <w:style w:type="character" w:styleId="905">
    <w:name w:val="footnote reference"/>
    <w:uiPriority w:val="99"/>
    <w:unhideWhenUsed/>
    <w:rPr>
      <w:vertAlign w:val="superscript"/>
    </w:rPr>
  </w:style>
  <w:style w:type="paragraph" w:styleId="906">
    <w:name w:val="endnote text"/>
    <w:basedOn w:val="738"/>
    <w:link w:val="907"/>
    <w:uiPriority w:val="99"/>
    <w:semiHidden/>
    <w:unhideWhenUsed/>
  </w:style>
  <w:style w:type="character" w:styleId="907" w:customStyle="1">
    <w:name w:val="Текст концевой сноски Знак"/>
    <w:link w:val="906"/>
    <w:uiPriority w:val="99"/>
    <w:rPr>
      <w:sz w:val="20"/>
    </w:rPr>
  </w:style>
  <w:style w:type="character" w:styleId="908">
    <w:name w:val="endnote reference"/>
    <w:uiPriority w:val="99"/>
    <w:semiHidden/>
    <w:unhideWhenUsed/>
    <w:rPr>
      <w:vertAlign w:val="superscript"/>
    </w:rPr>
  </w:style>
  <w:style w:type="paragraph" w:styleId="909">
    <w:name w:val="toc 1"/>
    <w:basedOn w:val="738"/>
    <w:next w:val="738"/>
    <w:uiPriority w:val="39"/>
    <w:unhideWhenUsed/>
    <w:pPr>
      <w:spacing w:after="57"/>
    </w:pPr>
  </w:style>
  <w:style w:type="paragraph" w:styleId="910">
    <w:name w:val="toc 2"/>
    <w:basedOn w:val="738"/>
    <w:next w:val="738"/>
    <w:uiPriority w:val="39"/>
    <w:unhideWhenUsed/>
    <w:pPr>
      <w:ind w:left="283"/>
      <w:spacing w:after="57"/>
    </w:pPr>
  </w:style>
  <w:style w:type="paragraph" w:styleId="911">
    <w:name w:val="toc 3"/>
    <w:basedOn w:val="738"/>
    <w:next w:val="738"/>
    <w:uiPriority w:val="39"/>
    <w:unhideWhenUsed/>
    <w:pPr>
      <w:ind w:left="567"/>
      <w:spacing w:after="57"/>
    </w:pPr>
  </w:style>
  <w:style w:type="paragraph" w:styleId="912">
    <w:name w:val="toc 4"/>
    <w:basedOn w:val="738"/>
    <w:next w:val="738"/>
    <w:uiPriority w:val="39"/>
    <w:unhideWhenUsed/>
    <w:pPr>
      <w:ind w:left="850"/>
      <w:spacing w:after="57"/>
    </w:pPr>
  </w:style>
  <w:style w:type="paragraph" w:styleId="913">
    <w:name w:val="toc 5"/>
    <w:basedOn w:val="738"/>
    <w:next w:val="738"/>
    <w:uiPriority w:val="39"/>
    <w:unhideWhenUsed/>
    <w:pPr>
      <w:ind w:left="1134"/>
      <w:spacing w:after="57"/>
    </w:pPr>
  </w:style>
  <w:style w:type="paragraph" w:styleId="914">
    <w:name w:val="toc 6"/>
    <w:basedOn w:val="738"/>
    <w:next w:val="738"/>
    <w:uiPriority w:val="39"/>
    <w:unhideWhenUsed/>
    <w:pPr>
      <w:ind w:left="1417"/>
      <w:spacing w:after="57"/>
    </w:pPr>
  </w:style>
  <w:style w:type="paragraph" w:styleId="915">
    <w:name w:val="toc 7"/>
    <w:basedOn w:val="738"/>
    <w:next w:val="738"/>
    <w:uiPriority w:val="39"/>
    <w:unhideWhenUsed/>
    <w:pPr>
      <w:ind w:left="1701"/>
      <w:spacing w:after="57"/>
    </w:pPr>
  </w:style>
  <w:style w:type="paragraph" w:styleId="916">
    <w:name w:val="toc 8"/>
    <w:basedOn w:val="738"/>
    <w:next w:val="738"/>
    <w:uiPriority w:val="39"/>
    <w:unhideWhenUsed/>
    <w:pPr>
      <w:ind w:left="1984"/>
      <w:spacing w:after="57"/>
    </w:pPr>
  </w:style>
  <w:style w:type="paragraph" w:styleId="917">
    <w:name w:val="toc 9"/>
    <w:basedOn w:val="738"/>
    <w:next w:val="738"/>
    <w:uiPriority w:val="39"/>
    <w:unhideWhenUsed/>
    <w:pPr>
      <w:ind w:left="2268"/>
      <w:spacing w:after="57"/>
    </w:pPr>
  </w:style>
  <w:style w:type="paragraph" w:styleId="918">
    <w:name w:val="TOC Heading"/>
    <w:uiPriority w:val="39"/>
    <w:unhideWhenUsed/>
  </w:style>
  <w:style w:type="paragraph" w:styleId="919">
    <w:name w:val="table of figures"/>
    <w:basedOn w:val="738"/>
    <w:next w:val="738"/>
    <w:uiPriority w:val="99"/>
    <w:unhideWhenUsed/>
  </w:style>
  <w:style w:type="paragraph" w:styleId="920" w:customStyle="1">
    <w:name w:val="caaieiaie 1"/>
    <w:basedOn w:val="738"/>
    <w:next w:val="738"/>
    <w:pPr>
      <w:ind w:firstLine="851"/>
      <w:jc w:val="center"/>
      <w:keepNext/>
    </w:pPr>
    <w:rPr>
      <w:sz w:val="32"/>
      <w:szCs w:val="32"/>
    </w:rPr>
  </w:style>
  <w:style w:type="paragraph" w:styleId="921" w:customStyle="1">
    <w:name w:val="caaieiaie 2"/>
    <w:basedOn w:val="738"/>
    <w:next w:val="738"/>
    <w:pPr>
      <w:jc w:val="center"/>
      <w:keepNext/>
    </w:pPr>
    <w:rPr>
      <w:b/>
      <w:bCs/>
      <w:sz w:val="36"/>
      <w:szCs w:val="36"/>
    </w:rPr>
  </w:style>
  <w:style w:type="paragraph" w:styleId="922" w:customStyle="1">
    <w:name w:val="caaieiaie 3"/>
    <w:basedOn w:val="738"/>
    <w:next w:val="738"/>
    <w:pPr>
      <w:ind w:firstLine="1134"/>
      <w:keepNext/>
    </w:pPr>
    <w:rPr>
      <w:sz w:val="28"/>
      <w:szCs w:val="28"/>
    </w:rPr>
  </w:style>
  <w:style w:type="paragraph" w:styleId="923" w:customStyle="1">
    <w:name w:val="caaieiaie 4"/>
    <w:basedOn w:val="738"/>
    <w:next w:val="738"/>
    <w:pPr>
      <w:jc w:val="center"/>
      <w:keepNext/>
    </w:pPr>
    <w:rPr>
      <w:sz w:val="28"/>
      <w:szCs w:val="28"/>
    </w:rPr>
  </w:style>
  <w:style w:type="paragraph" w:styleId="924" w:customStyle="1">
    <w:name w:val="caaieiaie 5"/>
    <w:basedOn w:val="738"/>
    <w:next w:val="738"/>
    <w:pPr>
      <w:jc w:val="both"/>
      <w:keepNext/>
    </w:pPr>
    <w:rPr>
      <w:sz w:val="28"/>
      <w:szCs w:val="28"/>
    </w:rPr>
  </w:style>
  <w:style w:type="paragraph" w:styleId="925" w:customStyle="1">
    <w:name w:val="caaieiaie 6"/>
    <w:basedOn w:val="738"/>
    <w:next w:val="738"/>
    <w:pPr>
      <w:jc w:val="center"/>
      <w:keepNext/>
    </w:pPr>
    <w:rPr>
      <w:sz w:val="24"/>
      <w:szCs w:val="24"/>
    </w:rPr>
  </w:style>
  <w:style w:type="paragraph" w:styleId="926" w:customStyle="1">
    <w:name w:val="caaieiaie 7"/>
    <w:basedOn w:val="738"/>
    <w:next w:val="738"/>
    <w:pPr>
      <w:keepNext/>
    </w:pPr>
    <w:rPr>
      <w:sz w:val="28"/>
      <w:szCs w:val="28"/>
      <w:lang w:val="en-US"/>
    </w:rPr>
  </w:style>
  <w:style w:type="paragraph" w:styleId="927" w:customStyle="1">
    <w:name w:val="niiaiie oaeno"/>
    <w:basedOn w:val="738"/>
    <w:pPr>
      <w:jc w:val="center"/>
    </w:pPr>
    <w:rPr>
      <w:b/>
      <w:bCs/>
      <w:sz w:val="24"/>
      <w:szCs w:val="24"/>
    </w:rPr>
  </w:style>
  <w:style w:type="paragraph" w:styleId="928">
    <w:name w:val="Body Text 2"/>
    <w:basedOn w:val="738"/>
    <w:rPr>
      <w:b/>
      <w:bCs/>
      <w:lang w:val="en-US"/>
    </w:rPr>
  </w:style>
  <w:style w:type="paragraph" w:styleId="929">
    <w:name w:val="Body Text"/>
    <w:basedOn w:val="738"/>
    <w:pPr>
      <w:jc w:val="center"/>
    </w:pPr>
    <w:rPr>
      <w:sz w:val="22"/>
      <w:szCs w:val="22"/>
      <w:lang w:val="en-US"/>
    </w:rPr>
  </w:style>
  <w:style w:type="paragraph" w:styleId="930">
    <w:name w:val="Balloon Text"/>
    <w:basedOn w:val="738"/>
    <w:semiHidden/>
    <w:rPr>
      <w:rFonts w:ascii="Tahoma" w:hAnsi="Tahoma" w:cs="Tahoma"/>
      <w:sz w:val="16"/>
      <w:szCs w:val="16"/>
    </w:rPr>
  </w:style>
  <w:style w:type="paragraph" w:styleId="931">
    <w:name w:val="Header"/>
    <w:basedOn w:val="738"/>
    <w:link w:val="937"/>
    <w:uiPriority w:val="99"/>
    <w:pPr>
      <w:tabs>
        <w:tab w:val="center" w:pos="4153" w:leader="none"/>
        <w:tab w:val="right" w:pos="8306" w:leader="none"/>
      </w:tabs>
    </w:pPr>
  </w:style>
  <w:style w:type="paragraph" w:styleId="932" w:customStyle="1">
    <w:name w:val="заголовок 7"/>
    <w:basedOn w:val="738"/>
    <w:next w:val="738"/>
    <w:pPr>
      <w:keepNext/>
    </w:pPr>
    <w:rPr>
      <w:sz w:val="28"/>
      <w:szCs w:val="28"/>
      <w:lang w:val="en-US"/>
    </w:rPr>
  </w:style>
  <w:style w:type="character" w:styleId="933">
    <w:name w:val="page number"/>
    <w:basedOn w:val="739"/>
  </w:style>
  <w:style w:type="paragraph" w:styleId="934">
    <w:name w:val="Footer"/>
    <w:basedOn w:val="738"/>
    <w:pPr>
      <w:tabs>
        <w:tab w:val="center" w:pos="4677" w:leader="none"/>
        <w:tab w:val="right" w:pos="9355" w:leader="none"/>
      </w:tabs>
    </w:pPr>
  </w:style>
  <w:style w:type="paragraph" w:styleId="935">
    <w:name w:val="Body Text Indent"/>
    <w:basedOn w:val="738"/>
    <w:link w:val="936"/>
    <w:pPr>
      <w:ind w:left="283"/>
      <w:jc w:val="both"/>
      <w:spacing w:after="120" w:line="360" w:lineRule="auto"/>
    </w:pPr>
    <w:rPr>
      <w:sz w:val="24"/>
      <w:szCs w:val="24"/>
      <w:lang w:val="en-US" w:eastAsia="en-US"/>
    </w:rPr>
  </w:style>
  <w:style w:type="character" w:styleId="936" w:customStyle="1">
    <w:name w:val="Основной текст с отступом Знак"/>
    <w:link w:val="935"/>
    <w:rPr>
      <w:sz w:val="24"/>
      <w:szCs w:val="24"/>
    </w:rPr>
  </w:style>
  <w:style w:type="character" w:styleId="937" w:customStyle="1">
    <w:name w:val="Верхний колонтитул Знак"/>
    <w:basedOn w:val="739"/>
    <w:link w:val="931"/>
    <w:uiPriority w:val="99"/>
  </w:style>
  <w:style w:type="paragraph" w:styleId="938" w:customStyle="1">
    <w:name w:val="csd270a203"/>
    <w:basedOn w:val="738"/>
    <w:pPr>
      <w:jc w:val="both"/>
    </w:pPr>
    <w:rPr>
      <w:sz w:val="24"/>
      <w:szCs w:val="24"/>
    </w:rPr>
  </w:style>
  <w:style w:type="character" w:styleId="939" w:customStyle="1">
    <w:name w:val="cs20fdfb881"/>
    <w:basedOn w:val="739"/>
    <w:rPr>
      <w:rFonts w:ascii="Courier New" w:hAnsi="Courier New" w:cs="Courier New"/>
      <w:color w:val="000000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ISD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Литовченко Оксана Николаевна</dc:creator>
  <cp:lastModifiedBy>sopova</cp:lastModifiedBy>
  <cp:revision>114</cp:revision>
  <dcterms:created xsi:type="dcterms:W3CDTF">2022-03-02T05:57:00Z</dcterms:created>
  <dcterms:modified xsi:type="dcterms:W3CDTF">2026-03-13T02:34:44Z</dcterms:modified>
  <cp:version>786432</cp:version>
</cp:coreProperties>
</file>